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E6" w:rsidRDefault="00394BE6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394BE6" w:rsidRDefault="00394BE6">
      <w:pPr>
        <w:pStyle w:val="ConsPlusTitle"/>
        <w:jc w:val="center"/>
      </w:pPr>
      <w:r>
        <w:t>КАЛИНИНГРАДСКАЯ ОБЛАСТЬ</w:t>
      </w:r>
    </w:p>
    <w:p w:rsidR="00394BE6" w:rsidRDefault="00394BE6">
      <w:pPr>
        <w:pStyle w:val="ConsPlusTitle"/>
        <w:jc w:val="center"/>
      </w:pPr>
      <w:r>
        <w:t>ОКРУЖНОЙ СОВЕТ ДЕПУТАТОВ МУНИЦИПАЛЬНОГО ОБРАЗОВАНИЯ</w:t>
      </w:r>
    </w:p>
    <w:p w:rsidR="00394BE6" w:rsidRDefault="00394BE6">
      <w:pPr>
        <w:pStyle w:val="ConsPlusTitle"/>
        <w:jc w:val="center"/>
      </w:pPr>
      <w:r>
        <w:t>"</w:t>
      </w:r>
      <w:proofErr w:type="spellStart"/>
      <w:r>
        <w:t>ЛАДУШКИНСКИЙ</w:t>
      </w:r>
      <w:proofErr w:type="spellEnd"/>
      <w:r>
        <w:t xml:space="preserve"> ГОРОДСКОЙ ОКРУГ"</w:t>
      </w:r>
    </w:p>
    <w:p w:rsidR="00394BE6" w:rsidRDefault="00394BE6">
      <w:pPr>
        <w:pStyle w:val="ConsPlusTitle"/>
        <w:jc w:val="center"/>
      </w:pPr>
    </w:p>
    <w:p w:rsidR="00394BE6" w:rsidRDefault="00394BE6">
      <w:pPr>
        <w:pStyle w:val="ConsPlusTitle"/>
        <w:jc w:val="center"/>
      </w:pPr>
      <w:r>
        <w:t>РЕШЕНИЕ</w:t>
      </w:r>
    </w:p>
    <w:p w:rsidR="00394BE6" w:rsidRDefault="00394BE6">
      <w:pPr>
        <w:pStyle w:val="ConsPlusTitle"/>
        <w:jc w:val="center"/>
      </w:pPr>
      <w:r>
        <w:t>от 27 ноября 2007 г. N 282</w:t>
      </w:r>
    </w:p>
    <w:p w:rsidR="00394BE6" w:rsidRDefault="00394BE6">
      <w:pPr>
        <w:pStyle w:val="ConsPlusTitle"/>
        <w:jc w:val="center"/>
      </w:pPr>
    </w:p>
    <w:p w:rsidR="00394BE6" w:rsidRDefault="00394BE6">
      <w:pPr>
        <w:pStyle w:val="ConsPlusTitle"/>
        <w:jc w:val="center"/>
      </w:pPr>
      <w:r>
        <w:t>О системе налогообложения в виде единого</w:t>
      </w:r>
    </w:p>
    <w:p w:rsidR="00394BE6" w:rsidRDefault="00394BE6">
      <w:pPr>
        <w:pStyle w:val="ConsPlusTitle"/>
        <w:jc w:val="center"/>
      </w:pPr>
      <w:r>
        <w:t>налога на вмененный доход для отдельных видов</w:t>
      </w:r>
    </w:p>
    <w:p w:rsidR="00394BE6" w:rsidRDefault="00394BE6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394BE6" w:rsidRDefault="00394BE6">
      <w:pPr>
        <w:pStyle w:val="ConsPlusTitle"/>
        <w:jc w:val="center"/>
      </w:pPr>
      <w:r>
        <w:t>"</w:t>
      </w:r>
      <w:proofErr w:type="spellStart"/>
      <w:r>
        <w:t>Ладушкинский</w:t>
      </w:r>
      <w:proofErr w:type="spellEnd"/>
      <w:r>
        <w:t xml:space="preserve"> городской округ"</w:t>
      </w:r>
    </w:p>
    <w:p w:rsidR="00394BE6" w:rsidRDefault="0039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BE6" w:rsidRDefault="0039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BE6" w:rsidRDefault="0039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окружного Совета депутатов </w:t>
            </w:r>
            <w:proofErr w:type="spellStart"/>
            <w:r>
              <w:rPr>
                <w:color w:val="392C69"/>
              </w:rPr>
              <w:t>Ладушкинского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394BE6" w:rsidRDefault="0039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5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07.02.2012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25.05.2017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BE6" w:rsidRDefault="00394BE6">
      <w:pPr>
        <w:pStyle w:val="ConsPlusNormal"/>
        <w:jc w:val="center"/>
      </w:pPr>
    </w:p>
    <w:p w:rsidR="00394BE6" w:rsidRDefault="00394BE6">
      <w:pPr>
        <w:pStyle w:val="ConsPlusNormal"/>
        <w:ind w:firstLine="540"/>
        <w:jc w:val="both"/>
      </w:pPr>
      <w:r>
        <w:t xml:space="preserve">В целях исполнения муниципального бюджета, 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муниципального образования "</w:t>
      </w:r>
      <w:proofErr w:type="spellStart"/>
      <w:r>
        <w:t>Ладушкинский</w:t>
      </w:r>
      <w:proofErr w:type="spellEnd"/>
      <w:r>
        <w:t xml:space="preserve"> городской округ" окружной Совет депутатов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jc w:val="center"/>
      </w:pPr>
      <w:r>
        <w:t>РЕШИЛ: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ind w:firstLine="540"/>
        <w:jc w:val="both"/>
      </w:pPr>
      <w:r>
        <w:t xml:space="preserve">1. Установить </w:t>
      </w:r>
      <w:hyperlink w:anchor="P54" w:history="1">
        <w:r>
          <w:rPr>
            <w:color w:val="0000FF"/>
          </w:rPr>
          <w:t>порядок</w:t>
        </w:r>
      </w:hyperlink>
      <w:r>
        <w:t xml:space="preserve"> действия системы налогообложения </w:t>
      </w:r>
      <w:proofErr w:type="gramStart"/>
      <w:r>
        <w:t>в виде единого налога на вмененный доход для отдельных видов деятельности на территории муниципального образования согласно приложению к данному Решению</w:t>
      </w:r>
      <w:proofErr w:type="gramEnd"/>
      <w:r>
        <w:t>.</w:t>
      </w:r>
    </w:p>
    <w:p w:rsidR="00394BE6" w:rsidRDefault="00394BE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окружного Совета депутатов </w:t>
      </w:r>
      <w:proofErr w:type="spellStart"/>
      <w:r>
        <w:t>Ладушкинского</w:t>
      </w:r>
      <w:proofErr w:type="spellEnd"/>
      <w:r>
        <w:t xml:space="preserve"> городского округа от 07.02.2012 N 9)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2. Решения окружного Совета депутатов муниципального образования "</w:t>
      </w:r>
      <w:proofErr w:type="spellStart"/>
      <w:r>
        <w:t>Ладушкинский</w:t>
      </w:r>
      <w:proofErr w:type="spellEnd"/>
      <w:r>
        <w:t xml:space="preserve"> городской округ":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N 95</w:t>
        </w:r>
      </w:hyperlink>
      <w:r>
        <w:t xml:space="preserve"> от 30.09.2005 "О введении на территории муниципального образования "</w:t>
      </w:r>
      <w:proofErr w:type="spellStart"/>
      <w:r>
        <w:t>Ладушкинский</w:t>
      </w:r>
      <w:proofErr w:type="spellEnd"/>
      <w:r>
        <w:t xml:space="preserve"> городской округ" системы налогообложения в виде единого налога на вмененный доход для отдельных видов деятельности";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N 108</w:t>
        </w:r>
      </w:hyperlink>
      <w:r>
        <w:t xml:space="preserve"> от 25.11.2005 "О внесении изменений и дополнений в отдельные нормативно-правовые акты";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N 204</w:t>
        </w:r>
      </w:hyperlink>
      <w:r>
        <w:t xml:space="preserve"> от 01.12.2006 "Об установлении коэффициента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/2, учитывающего покупательную способность населения в различных населенных пунктах муниципального образования "</w:t>
      </w:r>
      <w:proofErr w:type="spellStart"/>
      <w:r>
        <w:t>Ладушкинский</w:t>
      </w:r>
      <w:proofErr w:type="spellEnd"/>
      <w:r>
        <w:t xml:space="preserve"> городской округ" для определения корректирующего коэффициента базовой доходности при расчете единого налога на вмененный доход для отдельных видов деятельности на 2007 год" считать утратившими силу с 1 января 2008 года.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4. Решение опубликовать в СМИ.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jc w:val="right"/>
      </w:pPr>
      <w:r>
        <w:t>Глава</w:t>
      </w:r>
    </w:p>
    <w:p w:rsidR="00394BE6" w:rsidRDefault="00394BE6">
      <w:pPr>
        <w:pStyle w:val="ConsPlusNormal"/>
        <w:jc w:val="right"/>
      </w:pPr>
      <w:r>
        <w:t>муниципального образования</w:t>
      </w:r>
    </w:p>
    <w:p w:rsidR="00394BE6" w:rsidRDefault="00394BE6">
      <w:pPr>
        <w:pStyle w:val="ConsPlusNormal"/>
        <w:jc w:val="right"/>
      </w:pPr>
      <w:r>
        <w:t>"</w:t>
      </w:r>
      <w:proofErr w:type="spellStart"/>
      <w:r>
        <w:t>Ладушкинский</w:t>
      </w:r>
      <w:proofErr w:type="spellEnd"/>
      <w:r>
        <w:t xml:space="preserve"> городской округ"</w:t>
      </w:r>
    </w:p>
    <w:p w:rsidR="00394BE6" w:rsidRDefault="00394BE6">
      <w:pPr>
        <w:pStyle w:val="ConsPlusNormal"/>
        <w:jc w:val="right"/>
      </w:pPr>
      <w:proofErr w:type="spellStart"/>
      <w:r>
        <w:t>О.А</w:t>
      </w:r>
      <w:proofErr w:type="spellEnd"/>
      <w:r>
        <w:t>. Рассолов</w:t>
      </w:r>
    </w:p>
    <w:p w:rsidR="00394BE6" w:rsidRDefault="00394BE6">
      <w:pPr>
        <w:pStyle w:val="ConsPlusNormal"/>
        <w:jc w:val="right"/>
      </w:pPr>
    </w:p>
    <w:p w:rsidR="00394BE6" w:rsidRDefault="00394BE6">
      <w:pPr>
        <w:pStyle w:val="ConsPlusNormal"/>
        <w:jc w:val="right"/>
      </w:pPr>
      <w:r>
        <w:lastRenderedPageBreak/>
        <w:t>Председатель</w:t>
      </w:r>
    </w:p>
    <w:p w:rsidR="00394BE6" w:rsidRDefault="00394BE6">
      <w:pPr>
        <w:pStyle w:val="ConsPlusNormal"/>
        <w:jc w:val="right"/>
      </w:pPr>
      <w:r>
        <w:t>окружного Совета депутатов</w:t>
      </w:r>
    </w:p>
    <w:p w:rsidR="00394BE6" w:rsidRDefault="00394BE6">
      <w:pPr>
        <w:pStyle w:val="ConsPlusNormal"/>
        <w:jc w:val="right"/>
      </w:pPr>
      <w:r>
        <w:t>муниципального образования</w:t>
      </w:r>
    </w:p>
    <w:p w:rsidR="00394BE6" w:rsidRDefault="00394BE6">
      <w:pPr>
        <w:pStyle w:val="ConsPlusNormal"/>
        <w:jc w:val="right"/>
      </w:pPr>
      <w:r>
        <w:t>"</w:t>
      </w:r>
      <w:proofErr w:type="spellStart"/>
      <w:r>
        <w:t>Ладушкинский</w:t>
      </w:r>
      <w:proofErr w:type="spellEnd"/>
      <w:r>
        <w:t xml:space="preserve"> городской округ"</w:t>
      </w:r>
    </w:p>
    <w:p w:rsidR="00394BE6" w:rsidRDefault="00394BE6">
      <w:pPr>
        <w:pStyle w:val="ConsPlusNormal"/>
        <w:jc w:val="right"/>
      </w:pPr>
      <w:proofErr w:type="spellStart"/>
      <w:r>
        <w:t>Т.А</w:t>
      </w:r>
      <w:proofErr w:type="spellEnd"/>
      <w:r>
        <w:t>. Мартынова</w:t>
      </w:r>
    </w:p>
    <w:p w:rsidR="00394BE6" w:rsidRDefault="00394BE6">
      <w:pPr>
        <w:pStyle w:val="ConsPlusNormal"/>
        <w:jc w:val="both"/>
      </w:pPr>
    </w:p>
    <w:p w:rsidR="00394BE6" w:rsidRDefault="00394BE6">
      <w:pPr>
        <w:pStyle w:val="ConsPlusNormal"/>
        <w:jc w:val="both"/>
      </w:pPr>
    </w:p>
    <w:p w:rsidR="00394BE6" w:rsidRDefault="00394BE6">
      <w:pPr>
        <w:pStyle w:val="ConsPlusNormal"/>
      </w:pPr>
    </w:p>
    <w:p w:rsidR="00394BE6" w:rsidRDefault="00394BE6">
      <w:pPr>
        <w:pStyle w:val="ConsPlusNormal"/>
      </w:pPr>
    </w:p>
    <w:p w:rsidR="00394BE6" w:rsidRDefault="00394BE6">
      <w:pPr>
        <w:pStyle w:val="ConsPlusNormal"/>
      </w:pPr>
    </w:p>
    <w:p w:rsidR="00394BE6" w:rsidRDefault="00394BE6">
      <w:pPr>
        <w:pStyle w:val="ConsPlusNormal"/>
        <w:jc w:val="right"/>
        <w:outlineLvl w:val="0"/>
      </w:pPr>
      <w:r>
        <w:t>Приложение</w:t>
      </w:r>
    </w:p>
    <w:p w:rsidR="00394BE6" w:rsidRDefault="00394BE6">
      <w:pPr>
        <w:pStyle w:val="ConsPlusNormal"/>
        <w:jc w:val="right"/>
      </w:pPr>
      <w:r>
        <w:t>к Решению</w:t>
      </w:r>
    </w:p>
    <w:p w:rsidR="00394BE6" w:rsidRDefault="00394BE6">
      <w:pPr>
        <w:pStyle w:val="ConsPlusNormal"/>
        <w:jc w:val="right"/>
      </w:pPr>
      <w:r>
        <w:t>окружного Совета депутатов МО</w:t>
      </w:r>
    </w:p>
    <w:p w:rsidR="00394BE6" w:rsidRDefault="00394BE6">
      <w:pPr>
        <w:pStyle w:val="ConsPlusNormal"/>
        <w:jc w:val="right"/>
      </w:pPr>
      <w:r>
        <w:t>"</w:t>
      </w:r>
      <w:proofErr w:type="spellStart"/>
      <w:r>
        <w:t>Ладушкинский</w:t>
      </w:r>
      <w:proofErr w:type="spellEnd"/>
      <w:r>
        <w:t xml:space="preserve"> городской округ"</w:t>
      </w:r>
    </w:p>
    <w:p w:rsidR="00394BE6" w:rsidRDefault="00394BE6">
      <w:pPr>
        <w:pStyle w:val="ConsPlusNormal"/>
        <w:jc w:val="right"/>
      </w:pPr>
      <w:r>
        <w:t>от 27 ноября 2007 г. N 282</w:t>
      </w:r>
    </w:p>
    <w:p w:rsidR="00394BE6" w:rsidRDefault="0039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BE6" w:rsidRDefault="0039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BE6" w:rsidRDefault="0039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окружного Совета депутатов </w:t>
            </w:r>
            <w:proofErr w:type="spellStart"/>
            <w:r>
              <w:rPr>
                <w:color w:val="392C69"/>
              </w:rPr>
              <w:t>Ладушкинского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394BE6" w:rsidRDefault="0039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14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25.05.2017 </w:t>
            </w:r>
            <w:hyperlink r:id="rId1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BE6" w:rsidRDefault="00394BE6">
      <w:pPr>
        <w:pStyle w:val="ConsPlusNormal"/>
      </w:pPr>
    </w:p>
    <w:p w:rsidR="00394BE6" w:rsidRDefault="00394BE6">
      <w:pPr>
        <w:pStyle w:val="ConsPlusNormal"/>
        <w:jc w:val="center"/>
        <w:outlineLvl w:val="1"/>
      </w:pPr>
      <w:bookmarkStart w:id="1" w:name="P54"/>
      <w:bookmarkEnd w:id="1"/>
      <w:r>
        <w:t>I. Порядок действия системы налогообложения в виде</w:t>
      </w:r>
    </w:p>
    <w:p w:rsidR="00394BE6" w:rsidRDefault="00394BE6">
      <w:pPr>
        <w:pStyle w:val="ConsPlusNormal"/>
        <w:jc w:val="center"/>
      </w:pPr>
      <w:r>
        <w:t>единого налога на вмененный доход для отдельных видов</w:t>
      </w:r>
    </w:p>
    <w:p w:rsidR="00394BE6" w:rsidRDefault="00394BE6">
      <w:pPr>
        <w:pStyle w:val="ConsPlusNormal"/>
        <w:jc w:val="center"/>
      </w:pPr>
      <w:r>
        <w:t>деятельности на территории муниципального образования</w:t>
      </w:r>
    </w:p>
    <w:p w:rsidR="00394BE6" w:rsidRDefault="00394BE6">
      <w:pPr>
        <w:pStyle w:val="ConsPlusNormal"/>
        <w:jc w:val="center"/>
      </w:pPr>
      <w:r>
        <w:t>"</w:t>
      </w:r>
      <w:proofErr w:type="spellStart"/>
      <w:r>
        <w:t>Ладушкинский</w:t>
      </w:r>
      <w:proofErr w:type="spellEnd"/>
      <w:r>
        <w:t xml:space="preserve"> городской округ"</w:t>
      </w:r>
    </w:p>
    <w:p w:rsidR="00394BE6" w:rsidRDefault="00394BE6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окружного Совета депутатов </w:t>
      </w:r>
      <w:proofErr w:type="spellStart"/>
      <w:r>
        <w:t>Ладушкинского</w:t>
      </w:r>
      <w:proofErr w:type="spellEnd"/>
      <w:proofErr w:type="gramEnd"/>
    </w:p>
    <w:p w:rsidR="00394BE6" w:rsidRDefault="00394BE6">
      <w:pPr>
        <w:pStyle w:val="ConsPlusNormal"/>
        <w:jc w:val="center"/>
      </w:pPr>
      <w:r>
        <w:t>городского округа от 26.10.2010 N 57)</w:t>
      </w:r>
    </w:p>
    <w:p w:rsidR="00394BE6" w:rsidRDefault="00394BE6">
      <w:pPr>
        <w:pStyle w:val="ConsPlusNormal"/>
        <w:jc w:val="center"/>
      </w:pPr>
    </w:p>
    <w:p w:rsidR="00394BE6" w:rsidRDefault="00394BE6">
      <w:pPr>
        <w:pStyle w:val="ConsPlusNormal"/>
        <w:ind w:firstLine="540"/>
        <w:jc w:val="both"/>
        <w:outlineLvl w:val="2"/>
      </w:pPr>
      <w:r>
        <w:t>1. Общие положения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ind w:firstLine="540"/>
        <w:jc w:val="both"/>
      </w:pPr>
      <w:r>
        <w:t>На территории муниципального образования "</w:t>
      </w:r>
      <w:proofErr w:type="spellStart"/>
      <w:r>
        <w:t>Ладушкинский</w:t>
      </w:r>
      <w:proofErr w:type="spellEnd"/>
      <w:r>
        <w:t xml:space="preserve"> городской округ"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94BE6" w:rsidRDefault="00394BE6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окружного Совета депутатов </w:t>
      </w:r>
      <w:proofErr w:type="spellStart"/>
      <w:r>
        <w:t>Ладушкинского</w:t>
      </w:r>
      <w:proofErr w:type="spellEnd"/>
      <w:r>
        <w:t xml:space="preserve"> городского округа от 25.05.2017 N 30)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11) размещения рекламы на транспортных средствах;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94BE6" w:rsidRDefault="00394BE6">
      <w:pPr>
        <w:pStyle w:val="ConsPlusNormal"/>
        <w:spacing w:before="220"/>
        <w:ind w:firstLine="540"/>
        <w:jc w:val="both"/>
        <w:outlineLvl w:val="2"/>
      </w:pPr>
      <w:r>
        <w:t>2. Значение корректирующего коэффициента базовой доходности определяется по формуле: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величину дохода в зависимости от вида предпринимательской деятельности;</w:t>
      </w:r>
    </w:p>
    <w:p w:rsidR="00394BE6" w:rsidRDefault="00394BE6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покупательную способность населения в различных населенных пунктах;</w:t>
      </w:r>
    </w:p>
    <w:p w:rsidR="00394BE6" w:rsidRDefault="00394BE6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/3 - учитывающий особенности ассортимента товаров в розничной торговле.</w:t>
      </w:r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Значение корректирующего коэффициента</w:t>
      </w:r>
    </w:p>
    <w:p w:rsidR="00394BE6" w:rsidRDefault="00394BE6">
      <w:pPr>
        <w:pStyle w:val="ConsPlusNormal"/>
        <w:jc w:val="center"/>
      </w:pPr>
      <w:r>
        <w:t xml:space="preserve">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</w:p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ind w:firstLine="540"/>
        <w:jc w:val="both"/>
      </w:pPr>
      <w:r>
        <w:t xml:space="preserve">1.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величину дохода в зависимости от вида предпринимательской деятельности:</w:t>
      </w:r>
    </w:p>
    <w:p w:rsidR="00394BE6" w:rsidRDefault="00394B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1814"/>
      </w:tblGrid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</w:pP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 (88.10)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0,5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Ремонт обуви и прочих изделий из кожи (95.23)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Ремонт одежды и текстильных изделий (95.29.1)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Производство одежды, кроме одежды из меха (14.1)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Деятельность физкультурно-оздоровительная (96.04)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4BE6" w:rsidRDefault="00394BE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tcBorders>
              <w:bottom w:val="nil"/>
            </w:tcBorders>
          </w:tcPr>
          <w:p w:rsidR="00394BE6" w:rsidRDefault="00394BE6">
            <w:pPr>
              <w:pStyle w:val="ConsPlusNormal"/>
            </w:pPr>
            <w:r>
              <w:t>Прочие виды бытовых услуг</w:t>
            </w:r>
          </w:p>
        </w:tc>
        <w:tc>
          <w:tcPr>
            <w:tcW w:w="1814" w:type="dxa"/>
            <w:tcBorders>
              <w:bottom w:val="nil"/>
            </w:tcBorders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94BE6" w:rsidRDefault="00394BE6">
            <w:pPr>
              <w:pStyle w:val="ConsPlusNormal"/>
              <w:jc w:val="both"/>
            </w:pPr>
            <w:r>
              <w:t xml:space="preserve">(п. 1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</w:t>
            </w:r>
            <w:proofErr w:type="spellStart"/>
            <w:r>
              <w:t>Ладушкинского</w:t>
            </w:r>
            <w:proofErr w:type="spellEnd"/>
            <w:r>
              <w:t xml:space="preserve"> городского округа от 25.05.2017 N 30)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0,6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автотранспортных услуг: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0,9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сети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0,3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624" w:type="dxa"/>
          </w:tcPr>
          <w:p w:rsidR="00394BE6" w:rsidRDefault="00394B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394BE6" w:rsidRDefault="00394BE6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4BE6" w:rsidRDefault="00394B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bottom w:val="nil"/>
            </w:tcBorders>
          </w:tcPr>
          <w:p w:rsidR="00394BE6" w:rsidRDefault="00394BE6">
            <w:pPr>
              <w:pStyle w:val="ConsPlusNormal"/>
            </w:pPr>
            <w:r>
              <w:t>Размещение рекламы на транспортных средствах</w:t>
            </w:r>
          </w:p>
        </w:tc>
        <w:tc>
          <w:tcPr>
            <w:tcW w:w="1814" w:type="dxa"/>
            <w:tcBorders>
              <w:bottom w:val="nil"/>
            </w:tcBorders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94BE6" w:rsidRDefault="00394BE6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окружного Совета депутатов </w:t>
            </w:r>
            <w:proofErr w:type="spellStart"/>
            <w:r>
              <w:t>Ладушкинского</w:t>
            </w:r>
            <w:proofErr w:type="spellEnd"/>
            <w:r>
              <w:t xml:space="preserve"> городского округа от 26.10.2010 N 57)</w:t>
            </w:r>
          </w:p>
        </w:tc>
      </w:tr>
    </w:tbl>
    <w:p w:rsidR="00394BE6" w:rsidRDefault="00394BE6">
      <w:pPr>
        <w:pStyle w:val="ConsPlusNormal"/>
        <w:ind w:firstLine="540"/>
        <w:jc w:val="both"/>
      </w:pPr>
    </w:p>
    <w:p w:rsidR="00394BE6" w:rsidRDefault="00394BE6">
      <w:pPr>
        <w:pStyle w:val="ConsPlusNormal"/>
        <w:ind w:firstLine="540"/>
        <w:jc w:val="both"/>
      </w:pPr>
      <w:r>
        <w:t>2. 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покупательную способность населения муниципального образования "</w:t>
      </w:r>
      <w:proofErr w:type="spellStart"/>
      <w:r>
        <w:t>Ладушкинский</w:t>
      </w:r>
      <w:proofErr w:type="spellEnd"/>
      <w:r>
        <w:t xml:space="preserve"> городской округ":</w:t>
      </w:r>
    </w:p>
    <w:p w:rsidR="00394BE6" w:rsidRDefault="00394BE6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/2 - 0,6.</w:t>
      </w:r>
    </w:p>
    <w:p w:rsidR="00394BE6" w:rsidRDefault="00394BE6">
      <w:pPr>
        <w:pStyle w:val="ConsPlusNormal"/>
        <w:spacing w:before="220"/>
        <w:ind w:firstLine="540"/>
        <w:jc w:val="both"/>
      </w:pPr>
      <w:r>
        <w:t>3. 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особенности ассортимента товаров в розничной торговле:</w:t>
      </w:r>
    </w:p>
    <w:p w:rsidR="00394BE6" w:rsidRDefault="00394B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394BE6">
        <w:tc>
          <w:tcPr>
            <w:tcW w:w="7257" w:type="dxa"/>
          </w:tcPr>
          <w:p w:rsidR="00394BE6" w:rsidRDefault="00394BE6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0,9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Специализированная торговля, при которой выручка от реализации одной группы товаров превышает 70% от общей суммы выручки за налоговый период: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both"/>
            </w:pP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0,7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0,7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- яйцо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0,7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lastRenderedPageBreak/>
              <w:t>- детский ассортимент продовольственных и непродовольственных товаров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0,7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0,8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 xml:space="preserve">- электробытовые товары,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  <w:tr w:rsidR="00394BE6">
        <w:tc>
          <w:tcPr>
            <w:tcW w:w="7257" w:type="dxa"/>
          </w:tcPr>
          <w:p w:rsidR="00394BE6" w:rsidRDefault="00394BE6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814" w:type="dxa"/>
          </w:tcPr>
          <w:p w:rsidR="00394BE6" w:rsidRDefault="00394BE6">
            <w:pPr>
              <w:pStyle w:val="ConsPlusNormal"/>
              <w:jc w:val="center"/>
            </w:pPr>
            <w:r>
              <w:t>1,0</w:t>
            </w:r>
          </w:p>
        </w:tc>
      </w:tr>
    </w:tbl>
    <w:p w:rsidR="00394BE6" w:rsidRDefault="00394BE6">
      <w:pPr>
        <w:pStyle w:val="ConsPlusNormal"/>
      </w:pPr>
    </w:p>
    <w:p w:rsidR="00394BE6" w:rsidRDefault="00394BE6">
      <w:pPr>
        <w:pStyle w:val="ConsPlusNormal"/>
      </w:pPr>
    </w:p>
    <w:p w:rsidR="00394BE6" w:rsidRDefault="00394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71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6"/>
    <w:rsid w:val="00394BE6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BF720F2674C01D4B5E2EB424417305D6A60E857178F42362984A3B10403133DB3D69A9919C069kDLFJ" TargetMode="External"/><Relationship Id="rId13" Type="http://schemas.openxmlformats.org/officeDocument/2006/relationships/hyperlink" Target="consultantplus://offline/ref=C97BF720F2674C01D4B5FCE6542849395B6838ED551487126976DFFEE60D0944k7LAJ" TargetMode="External"/><Relationship Id="rId18" Type="http://schemas.openxmlformats.org/officeDocument/2006/relationships/hyperlink" Target="consultantplus://offline/ref=C97BF720F2674C01D4B5E2EB424417305C6366E751168F42362984A3B1k0L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BF720F2674C01D4B5FCE6542849395B6838ED541D83176376DFFEE60D09447AFC8FD8DD17C66BDAFD87k4L4J" TargetMode="External"/><Relationship Id="rId7" Type="http://schemas.openxmlformats.org/officeDocument/2006/relationships/hyperlink" Target="consultantplus://offline/ref=C97BF720F2674C01D4B5FCE6542849395B6838ED50128C176D76DFFEE60D09447AFC8FD8DD17C66BDAFD86k4L2J" TargetMode="External"/><Relationship Id="rId12" Type="http://schemas.openxmlformats.org/officeDocument/2006/relationships/hyperlink" Target="consultantplus://offline/ref=C97BF720F2674C01D4B5FCE6542849395B6838ED561285126D76DFFEE60D0944k7LAJ" TargetMode="External"/><Relationship Id="rId17" Type="http://schemas.openxmlformats.org/officeDocument/2006/relationships/hyperlink" Target="consultantplus://offline/ref=C97BF720F2674C01D4B5E2EB424417305C6366E751178F42362984A3B1k0L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BF720F2674C01D4B5FCE6542849395B6838ED541D83176376DFFEE60D09447AFC8FD8DD17C66BDAFD86k4LDJ" TargetMode="External"/><Relationship Id="rId20" Type="http://schemas.openxmlformats.org/officeDocument/2006/relationships/hyperlink" Target="consultantplus://offline/ref=C97BF720F2674C01D4B5FCE6542849395B6838ED50128C176D76DFFEE60D09447AFC8FD8DD17C66BDAFD87k4L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BF720F2674C01D4B5FCE6542849395B6838ED531287106976DFFEE60D09447AFC8FD8DD17C66BDAFD86k4L2J" TargetMode="External"/><Relationship Id="rId11" Type="http://schemas.openxmlformats.org/officeDocument/2006/relationships/hyperlink" Target="consultantplus://offline/ref=C97BF720F2674C01D4B5FCE6542849395B6838ED561282116876DFFEE60D0944k7LAJ" TargetMode="External"/><Relationship Id="rId5" Type="http://schemas.openxmlformats.org/officeDocument/2006/relationships/hyperlink" Target="consultantplus://offline/ref=C97BF720F2674C01D4B5FCE6542849395B6838ED541D83176376DFFEE60D09447AFC8FD8DD17C66BDAFD86k4L2J" TargetMode="External"/><Relationship Id="rId15" Type="http://schemas.openxmlformats.org/officeDocument/2006/relationships/hyperlink" Target="consultantplus://offline/ref=C97BF720F2674C01D4B5FCE6542849395B6838ED50128C176D76DFFEE60D09447AFC8FD8DD17C66BDAFD86k4L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7BF720F2674C01D4B5FCE6542849395B6838ED531287106976DFFEE60D09447AFC8FD8DD17C66BDAFD86k4L3J" TargetMode="External"/><Relationship Id="rId19" Type="http://schemas.openxmlformats.org/officeDocument/2006/relationships/hyperlink" Target="consultantplus://offline/ref=C97BF720F2674C01D4B5FCE6542849395B6838ED50128C176D76DFFEE60D09447AFC8FD8DD17C66BDAFD86k4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BF720F2674C01D4B5FCE6542849395B6838ED501085136B76DFFEE60D09447AFC8FD8DD17C66BDAFD87k4L1J" TargetMode="External"/><Relationship Id="rId14" Type="http://schemas.openxmlformats.org/officeDocument/2006/relationships/hyperlink" Target="consultantplus://offline/ref=C97BF720F2674C01D4B5FCE6542849395B6838ED541D83176376DFFEE60D09447AFC8FD8DD17C66BDAFD86k4L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2018-07-25T09:11:00Z</dcterms:created>
  <dcterms:modified xsi:type="dcterms:W3CDTF">2018-07-25T09:11:00Z</dcterms:modified>
</cp:coreProperties>
</file>